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13834" w14:textId="333AE920" w:rsidR="477CB727" w:rsidRDefault="477CB727" w:rsidP="477CB727">
      <w:bookmarkStart w:id="0" w:name="_GoBack"/>
      <w:bookmarkEnd w:id="0"/>
      <w:r>
        <w:t xml:space="preserve">                </w:t>
      </w:r>
      <w:r>
        <w:rPr>
          <w:noProof/>
        </w:rPr>
        <w:drawing>
          <wp:inline distT="0" distB="0" distL="0" distR="0" wp14:anchorId="406DF634" wp14:editId="429422E4">
            <wp:extent cx="4572000" cy="1143000"/>
            <wp:effectExtent l="0" t="0" r="0" b="0"/>
            <wp:docPr id="162958054" name="Picture 16295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09620AF0" w14:textId="0A2AB5E6" w:rsidR="477CB727" w:rsidRDefault="477CB727" w:rsidP="477CB727">
      <w:pPr>
        <w:rPr>
          <w:rFonts w:ascii="Calibri" w:eastAsia="Calibri" w:hAnsi="Calibri" w:cs="Calibri"/>
          <w:color w:val="0F0F0F"/>
          <w:sz w:val="21"/>
          <w:szCs w:val="21"/>
        </w:rPr>
      </w:pPr>
    </w:p>
    <w:p w14:paraId="2CC97A60" w14:textId="3D9E0A7D" w:rsidR="477CB727" w:rsidRPr="00DC483E" w:rsidRDefault="477CB727" w:rsidP="477CB727">
      <w:pPr>
        <w:rPr>
          <w:sz w:val="28"/>
        </w:rPr>
      </w:pPr>
      <w:r w:rsidRPr="00DC483E">
        <w:rPr>
          <w:rFonts w:ascii="Calibri" w:eastAsia="Calibri" w:hAnsi="Calibri" w:cs="Calibri"/>
          <w:color w:val="1F1E1E"/>
          <w:sz w:val="28"/>
        </w:rPr>
        <w:t>Reading Scholarship Accounts are available for students in grades 3 through 5 who are enrolled in a Florida public school and scored below a Level 3 on the grade 3 or grade 4 statewide, standardized English Language Arts assessment in the prior school year.</w:t>
      </w:r>
      <w:r w:rsidRPr="00DC483E">
        <w:rPr>
          <w:rFonts w:ascii="Calibri" w:eastAsia="Calibri" w:hAnsi="Calibri" w:cs="Calibri"/>
          <w:color w:val="0F0F0F"/>
          <w:sz w:val="24"/>
          <w:szCs w:val="21"/>
        </w:rPr>
        <w:t xml:space="preserve"> </w:t>
      </w:r>
    </w:p>
    <w:p w14:paraId="7EDDECF7" w14:textId="2FCA305A" w:rsidR="477CB727" w:rsidRPr="00DC483E" w:rsidRDefault="477CB727" w:rsidP="477CB727">
      <w:pPr>
        <w:rPr>
          <w:sz w:val="28"/>
        </w:rPr>
      </w:pPr>
      <w:r w:rsidRPr="00DC483E">
        <w:rPr>
          <w:rFonts w:ascii="Calibri" w:eastAsia="Calibri" w:hAnsi="Calibri" w:cs="Calibri"/>
          <w:color w:val="0F0F0F"/>
          <w:sz w:val="24"/>
          <w:szCs w:val="21"/>
        </w:rPr>
        <w:t>To complete the Reading Scholarship application, parents will need information from the Spring 2019 Florida Standards Assessment (FSA) report, including the student’s FLEID number. Most Spring 2019 FSA reports are sent to parents during the summer. Please be sure to hold onto the copy when you receive it. If you do not have a copy of your student’s Spring 2019 FSA assessment when it’s time to apply, please contact the </w:t>
      </w:r>
      <w:hyperlink r:id="rId6">
        <w:r w:rsidRPr="00DC483E">
          <w:rPr>
            <w:rStyle w:val="Hyperlink"/>
            <w:rFonts w:ascii="Calibri" w:eastAsia="Calibri" w:hAnsi="Calibri" w:cs="Calibri"/>
            <w:color w:val="474747"/>
            <w:sz w:val="24"/>
            <w:szCs w:val="21"/>
          </w:rPr>
          <w:t>Assessment Coordinator</w:t>
        </w:r>
      </w:hyperlink>
      <w:r w:rsidRPr="00DC483E">
        <w:rPr>
          <w:rFonts w:ascii="Calibri" w:eastAsia="Calibri" w:hAnsi="Calibri" w:cs="Calibri"/>
          <w:color w:val="474747"/>
          <w:sz w:val="24"/>
          <w:szCs w:val="21"/>
        </w:rPr>
        <w:t> for your school district to obtain a copy</w:t>
      </w:r>
    </w:p>
    <w:p w14:paraId="1CE0C43A" w14:textId="6AC87DFF" w:rsidR="477CB727" w:rsidRDefault="477CB727" w:rsidP="477CB727">
      <w:pPr>
        <w:rPr>
          <w:rFonts w:ascii="Calibri" w:eastAsia="Calibri" w:hAnsi="Calibri" w:cs="Calibri"/>
          <w:color w:val="474747"/>
          <w:sz w:val="21"/>
          <w:szCs w:val="21"/>
        </w:rPr>
      </w:pPr>
    </w:p>
    <w:p w14:paraId="724208BC" w14:textId="2F93EE50" w:rsidR="477CB727" w:rsidRDefault="477CB727" w:rsidP="477CB727">
      <w:pPr>
        <w:pStyle w:val="Heading2"/>
      </w:pPr>
      <w:r w:rsidRPr="477CB727">
        <w:rPr>
          <w:color w:val="2D566A"/>
          <w:sz w:val="45"/>
          <w:szCs w:val="45"/>
        </w:rPr>
        <w:t>How do I apply for a Reading Scholarship Account?</w:t>
      </w:r>
    </w:p>
    <w:p w14:paraId="0721D601" w14:textId="3FDA6141" w:rsidR="477CB727" w:rsidRPr="00DC483E" w:rsidRDefault="477CB727">
      <w:pPr>
        <w:rPr>
          <w:sz w:val="24"/>
        </w:rPr>
      </w:pPr>
      <w:r w:rsidRPr="00DC483E">
        <w:rPr>
          <w:rFonts w:ascii="Calibri" w:eastAsia="Calibri" w:hAnsi="Calibri" w:cs="Calibri"/>
          <w:color w:val="1F1E1E"/>
          <w:sz w:val="24"/>
        </w:rPr>
        <w:t xml:space="preserve">To apply for funding, a parent must submit an application to an eligible </w:t>
      </w:r>
      <w:hyperlink r:id="rId7">
        <w:r w:rsidRPr="00DC483E">
          <w:rPr>
            <w:rStyle w:val="Hyperlink"/>
            <w:rFonts w:ascii="Calibri" w:eastAsia="Calibri" w:hAnsi="Calibri" w:cs="Calibri"/>
            <w:color w:val="214283"/>
            <w:sz w:val="24"/>
          </w:rPr>
          <w:t>scholarship funding organization directly</w:t>
        </w:r>
      </w:hyperlink>
      <w:r w:rsidRPr="00DC483E">
        <w:rPr>
          <w:rFonts w:ascii="Calibri" w:eastAsia="Calibri" w:hAnsi="Calibri" w:cs="Calibri"/>
          <w:color w:val="214283"/>
          <w:sz w:val="24"/>
        </w:rPr>
        <w:t>.</w:t>
      </w:r>
    </w:p>
    <w:p w14:paraId="2CB61677" w14:textId="55B3D975" w:rsidR="477CB727" w:rsidRPr="00DC483E" w:rsidRDefault="477CB727" w:rsidP="477CB727">
      <w:pPr>
        <w:rPr>
          <w:rFonts w:ascii="Calibri" w:eastAsia="Calibri" w:hAnsi="Calibri" w:cs="Calibri"/>
          <w:sz w:val="24"/>
        </w:rPr>
      </w:pPr>
      <w:r w:rsidRPr="00DC483E">
        <w:rPr>
          <w:rFonts w:ascii="Calibri" w:eastAsia="Calibri" w:hAnsi="Calibri" w:cs="Calibri"/>
          <w:color w:val="1F1E1E"/>
          <w:sz w:val="24"/>
        </w:rPr>
        <w:t xml:space="preserve">For the 2019-20 school year, </w:t>
      </w:r>
      <w:hyperlink r:id="rId8">
        <w:r w:rsidRPr="00DC483E">
          <w:rPr>
            <w:rStyle w:val="Hyperlink"/>
            <w:rFonts w:ascii="Calibri" w:eastAsia="Calibri" w:hAnsi="Calibri" w:cs="Calibri"/>
            <w:color w:val="214283"/>
            <w:sz w:val="24"/>
          </w:rPr>
          <w:t xml:space="preserve">Step Up </w:t>
        </w:r>
        <w:proofErr w:type="gramStart"/>
        <w:r w:rsidRPr="00DC483E">
          <w:rPr>
            <w:rStyle w:val="Hyperlink"/>
            <w:rFonts w:ascii="Calibri" w:eastAsia="Calibri" w:hAnsi="Calibri" w:cs="Calibri"/>
            <w:color w:val="214283"/>
            <w:sz w:val="24"/>
          </w:rPr>
          <w:t>For</w:t>
        </w:r>
        <w:proofErr w:type="gramEnd"/>
        <w:r w:rsidRPr="00DC483E">
          <w:rPr>
            <w:rStyle w:val="Hyperlink"/>
            <w:rFonts w:ascii="Calibri" w:eastAsia="Calibri" w:hAnsi="Calibri" w:cs="Calibri"/>
            <w:color w:val="214283"/>
            <w:sz w:val="24"/>
          </w:rPr>
          <w:t xml:space="preserve"> Students</w:t>
        </w:r>
      </w:hyperlink>
      <w:r w:rsidRPr="00DC483E">
        <w:rPr>
          <w:rFonts w:ascii="Calibri" w:eastAsia="Calibri" w:hAnsi="Calibri" w:cs="Calibri"/>
          <w:color w:val="214283"/>
          <w:sz w:val="24"/>
        </w:rPr>
        <w:t xml:space="preserve"> </w:t>
      </w:r>
      <w:r w:rsidRPr="00DC483E">
        <w:rPr>
          <w:rFonts w:ascii="Calibri" w:eastAsia="Calibri" w:hAnsi="Calibri" w:cs="Calibri"/>
          <w:sz w:val="24"/>
        </w:rPr>
        <w:t>will be the only Scholarship Funding Organization administering this scholarship program.</w:t>
      </w:r>
    </w:p>
    <w:p w14:paraId="106944E4" w14:textId="3BDAFCBA" w:rsidR="477CB727" w:rsidRPr="00DC483E" w:rsidRDefault="477CB727">
      <w:pPr>
        <w:rPr>
          <w:sz w:val="24"/>
        </w:rPr>
      </w:pPr>
      <w:r w:rsidRPr="00DC483E">
        <w:rPr>
          <w:rFonts w:ascii="Calibri" w:eastAsia="Calibri" w:hAnsi="Calibri" w:cs="Calibri"/>
          <w:color w:val="1F1E1E"/>
          <w:sz w:val="24"/>
        </w:rPr>
        <w:t>The eligible expenditures for reimbursement are:</w:t>
      </w:r>
    </w:p>
    <w:p w14:paraId="176D22C3" w14:textId="112CC565" w:rsidR="477CB727" w:rsidRPr="00DC483E" w:rsidRDefault="477CB727" w:rsidP="477CB727">
      <w:pPr>
        <w:pStyle w:val="ListParagraph"/>
        <w:numPr>
          <w:ilvl w:val="0"/>
          <w:numId w:val="1"/>
        </w:numPr>
        <w:rPr>
          <w:color w:val="1F1E1E"/>
          <w:sz w:val="24"/>
        </w:rPr>
      </w:pPr>
      <w:r w:rsidRPr="00DC483E">
        <w:rPr>
          <w:rFonts w:ascii="Calibri" w:eastAsia="Calibri" w:hAnsi="Calibri" w:cs="Calibri"/>
          <w:color w:val="1F1E1E"/>
          <w:sz w:val="24"/>
        </w:rPr>
        <w:t>Instructional materials.</w:t>
      </w:r>
    </w:p>
    <w:p w14:paraId="30BACEE5" w14:textId="3BAEF6CE" w:rsidR="477CB727" w:rsidRPr="00DC483E" w:rsidRDefault="477CB727" w:rsidP="477CB727">
      <w:pPr>
        <w:pStyle w:val="ListParagraph"/>
        <w:numPr>
          <w:ilvl w:val="0"/>
          <w:numId w:val="1"/>
        </w:numPr>
        <w:rPr>
          <w:color w:val="1F1E1E"/>
          <w:sz w:val="24"/>
        </w:rPr>
      </w:pPr>
      <w:r w:rsidRPr="00DC483E">
        <w:rPr>
          <w:rFonts w:ascii="Calibri" w:eastAsia="Calibri" w:hAnsi="Calibri" w:cs="Calibri"/>
          <w:color w:val="1F1E1E"/>
          <w:sz w:val="24"/>
        </w:rPr>
        <w:t>Curriculum;</w:t>
      </w:r>
    </w:p>
    <w:p w14:paraId="08698777" w14:textId="5103E317" w:rsidR="477CB727" w:rsidRPr="00DC483E" w:rsidRDefault="477CB727" w:rsidP="477CB727">
      <w:pPr>
        <w:pStyle w:val="ListParagraph"/>
        <w:numPr>
          <w:ilvl w:val="0"/>
          <w:numId w:val="1"/>
        </w:numPr>
        <w:rPr>
          <w:color w:val="1F1E1E"/>
          <w:sz w:val="24"/>
        </w:rPr>
      </w:pPr>
      <w:r w:rsidRPr="00DC483E">
        <w:rPr>
          <w:rFonts w:ascii="Calibri" w:eastAsia="Calibri" w:hAnsi="Calibri" w:cs="Calibri"/>
          <w:color w:val="1F1E1E"/>
          <w:sz w:val="24"/>
        </w:rPr>
        <w:t>Tuition and fees for part-time tutoring services. The services shall be provided by a person who holds a valid teaching certificate pursuant to s. 1012.56, F.S.; a person who holds a baccalaureate or graduate degree in the subject area; a person who holds an adjunct teaching certificate pursuant to s. 1012.57; or a person who has demonstrated a mastery of subject area knowledge pursuant to s. 1012.56(5);</w:t>
      </w:r>
    </w:p>
    <w:p w14:paraId="5D388942" w14:textId="0CD59333" w:rsidR="477CB727" w:rsidRPr="00DC483E" w:rsidRDefault="477CB727" w:rsidP="477CB727">
      <w:pPr>
        <w:pStyle w:val="ListParagraph"/>
        <w:numPr>
          <w:ilvl w:val="0"/>
          <w:numId w:val="1"/>
        </w:numPr>
        <w:rPr>
          <w:color w:val="1F1E1E"/>
          <w:sz w:val="24"/>
        </w:rPr>
      </w:pPr>
      <w:r w:rsidRPr="00DC483E">
        <w:rPr>
          <w:rFonts w:ascii="Calibri" w:eastAsia="Calibri" w:hAnsi="Calibri" w:cs="Calibri"/>
          <w:color w:val="1F1E1E"/>
          <w:sz w:val="24"/>
        </w:rPr>
        <w:t>Fees for specialized summer education programs designed to improve reading or literacy skills; and</w:t>
      </w:r>
    </w:p>
    <w:p w14:paraId="337E5004" w14:textId="6D175666" w:rsidR="477CB727" w:rsidRPr="00DC483E" w:rsidRDefault="477CB727" w:rsidP="477CB727">
      <w:pPr>
        <w:pStyle w:val="ListParagraph"/>
        <w:numPr>
          <w:ilvl w:val="0"/>
          <w:numId w:val="1"/>
        </w:numPr>
        <w:rPr>
          <w:color w:val="1F1E1E"/>
          <w:sz w:val="24"/>
        </w:rPr>
      </w:pPr>
      <w:r w:rsidRPr="00DC483E">
        <w:rPr>
          <w:rFonts w:ascii="Calibri" w:eastAsia="Calibri" w:hAnsi="Calibri" w:cs="Calibri"/>
          <w:color w:val="1F1E1E"/>
          <w:sz w:val="24"/>
        </w:rPr>
        <w:t>Fees for after-school education programs designed to improve reading or literacy skills.</w:t>
      </w:r>
    </w:p>
    <w:p w14:paraId="425C0A71" w14:textId="6E38B787" w:rsidR="477CB727" w:rsidRDefault="477CB727" w:rsidP="477CB727">
      <w:pPr>
        <w:rPr>
          <w:rFonts w:ascii="Calibri" w:eastAsia="Calibri" w:hAnsi="Calibri" w:cs="Calibri"/>
          <w:color w:val="474747"/>
          <w:sz w:val="21"/>
          <w:szCs w:val="21"/>
        </w:rPr>
      </w:pPr>
    </w:p>
    <w:sectPr w:rsidR="477CB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5EF"/>
    <w:multiLevelType w:val="hybridMultilevel"/>
    <w:tmpl w:val="46708466"/>
    <w:lvl w:ilvl="0" w:tplc="BCEE6F56">
      <w:start w:val="1"/>
      <w:numFmt w:val="bullet"/>
      <w:lvlText w:val=""/>
      <w:lvlJc w:val="left"/>
      <w:pPr>
        <w:ind w:left="720" w:hanging="360"/>
      </w:pPr>
      <w:rPr>
        <w:rFonts w:ascii="Symbol" w:hAnsi="Symbol" w:hint="default"/>
      </w:rPr>
    </w:lvl>
    <w:lvl w:ilvl="1" w:tplc="958816D0">
      <w:start w:val="1"/>
      <w:numFmt w:val="bullet"/>
      <w:lvlText w:val="o"/>
      <w:lvlJc w:val="left"/>
      <w:pPr>
        <w:ind w:left="1440" w:hanging="360"/>
      </w:pPr>
      <w:rPr>
        <w:rFonts w:ascii="Courier New" w:hAnsi="Courier New" w:hint="default"/>
      </w:rPr>
    </w:lvl>
    <w:lvl w:ilvl="2" w:tplc="9C946668">
      <w:start w:val="1"/>
      <w:numFmt w:val="bullet"/>
      <w:lvlText w:val=""/>
      <w:lvlJc w:val="left"/>
      <w:pPr>
        <w:ind w:left="2160" w:hanging="360"/>
      </w:pPr>
      <w:rPr>
        <w:rFonts w:ascii="Wingdings" w:hAnsi="Wingdings" w:hint="default"/>
      </w:rPr>
    </w:lvl>
    <w:lvl w:ilvl="3" w:tplc="066CD748">
      <w:start w:val="1"/>
      <w:numFmt w:val="bullet"/>
      <w:lvlText w:val=""/>
      <w:lvlJc w:val="left"/>
      <w:pPr>
        <w:ind w:left="2880" w:hanging="360"/>
      </w:pPr>
      <w:rPr>
        <w:rFonts w:ascii="Symbol" w:hAnsi="Symbol" w:hint="default"/>
      </w:rPr>
    </w:lvl>
    <w:lvl w:ilvl="4" w:tplc="89587A18">
      <w:start w:val="1"/>
      <w:numFmt w:val="bullet"/>
      <w:lvlText w:val="o"/>
      <w:lvlJc w:val="left"/>
      <w:pPr>
        <w:ind w:left="3600" w:hanging="360"/>
      </w:pPr>
      <w:rPr>
        <w:rFonts w:ascii="Courier New" w:hAnsi="Courier New" w:hint="default"/>
      </w:rPr>
    </w:lvl>
    <w:lvl w:ilvl="5" w:tplc="67C8D8F6">
      <w:start w:val="1"/>
      <w:numFmt w:val="bullet"/>
      <w:lvlText w:val=""/>
      <w:lvlJc w:val="left"/>
      <w:pPr>
        <w:ind w:left="4320" w:hanging="360"/>
      </w:pPr>
      <w:rPr>
        <w:rFonts w:ascii="Wingdings" w:hAnsi="Wingdings" w:hint="default"/>
      </w:rPr>
    </w:lvl>
    <w:lvl w:ilvl="6" w:tplc="CCB8259C">
      <w:start w:val="1"/>
      <w:numFmt w:val="bullet"/>
      <w:lvlText w:val=""/>
      <w:lvlJc w:val="left"/>
      <w:pPr>
        <w:ind w:left="5040" w:hanging="360"/>
      </w:pPr>
      <w:rPr>
        <w:rFonts w:ascii="Symbol" w:hAnsi="Symbol" w:hint="default"/>
      </w:rPr>
    </w:lvl>
    <w:lvl w:ilvl="7" w:tplc="1C8ED656">
      <w:start w:val="1"/>
      <w:numFmt w:val="bullet"/>
      <w:lvlText w:val="o"/>
      <w:lvlJc w:val="left"/>
      <w:pPr>
        <w:ind w:left="5760" w:hanging="360"/>
      </w:pPr>
      <w:rPr>
        <w:rFonts w:ascii="Courier New" w:hAnsi="Courier New" w:hint="default"/>
      </w:rPr>
    </w:lvl>
    <w:lvl w:ilvl="8" w:tplc="5100F4A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5A6984"/>
    <w:rsid w:val="00465815"/>
    <w:rsid w:val="009B64F4"/>
    <w:rsid w:val="00CC3A83"/>
    <w:rsid w:val="00DC483E"/>
    <w:rsid w:val="00F8179E"/>
    <w:rsid w:val="477CB727"/>
    <w:rsid w:val="645A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6984"/>
  <w15:chartTrackingRefBased/>
  <w15:docId w15:val="{969F91AE-F25C-49EE-A235-71681CA1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B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upforstudents.org/" TargetMode="External"/><Relationship Id="rId3" Type="http://schemas.openxmlformats.org/officeDocument/2006/relationships/settings" Target="settings.xml"/><Relationship Id="rId7" Type="http://schemas.openxmlformats.org/officeDocument/2006/relationships/hyperlink" Target="https://www.stepupforstudents.org/for-parents/reading-scholarship/how-the-scholarship-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core/fileparse.php/5663/urlt/AltAssessmentCoor.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Patti</dc:creator>
  <cp:keywords/>
  <dc:description/>
  <cp:lastModifiedBy>Hodgson, Jennifer L.</cp:lastModifiedBy>
  <cp:revision>2</cp:revision>
  <dcterms:created xsi:type="dcterms:W3CDTF">2019-11-19T20:46:00Z</dcterms:created>
  <dcterms:modified xsi:type="dcterms:W3CDTF">2019-11-19T20:46:00Z</dcterms:modified>
</cp:coreProperties>
</file>